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CBB05" w14:textId="77777777" w:rsidR="000A3302" w:rsidRDefault="00D67E2C">
      <w:pPr>
        <w:spacing w:before="200" w:after="40"/>
      </w:pPr>
      <w:r>
        <w:rPr>
          <w:b/>
          <w:color w:val="1F4E79"/>
          <w:sz w:val="44"/>
        </w:rPr>
        <w:t>FENSTANTON COMMUNITY HALL</w:t>
      </w:r>
    </w:p>
    <w:p w14:paraId="563F8342" w14:textId="77777777" w:rsidR="000A3302" w:rsidRDefault="00D67E2C">
      <w:pPr>
        <w:spacing w:after="480"/>
      </w:pPr>
      <w:r>
        <w:rPr>
          <w:i/>
          <w:color w:val="595959"/>
          <w:sz w:val="24"/>
        </w:rPr>
        <w:t>Standard Conditions for Block Bookings &amp; Multi-Hire Agreements</w:t>
      </w:r>
      <w:r>
        <w:rPr>
          <w:i/>
          <w:color w:val="595959"/>
          <w:sz w:val="24"/>
        </w:rPr>
        <w:br/>
        <w:t>(Aligned with Cambridgeshire ACRE Model Hiring Framework)</w:t>
      </w:r>
    </w:p>
    <w:tbl>
      <w:tblPr>
        <w:tblW w:w="0" w:type="auto"/>
        <w:jc w:val="center"/>
        <w:tblLayout w:type="fixed"/>
        <w:tblLook w:val="04A0" w:firstRow="1" w:lastRow="0" w:firstColumn="1" w:lastColumn="0" w:noHBand="0" w:noVBand="1"/>
      </w:tblPr>
      <w:tblGrid>
        <w:gridCol w:w="8928"/>
      </w:tblGrid>
      <w:tr w:rsidR="000A3302" w14:paraId="2F2518A7" w14:textId="77777777">
        <w:trPr>
          <w:jc w:val="center"/>
        </w:trPr>
        <w:tc>
          <w:tcPr>
            <w:tcW w:w="8928" w:type="dxa"/>
            <w:tcBorders>
              <w:left w:val="single" w:sz="24" w:space="0" w:color="1F4E79"/>
            </w:tcBorders>
            <w:shd w:val="clear" w:color="auto" w:fill="F2F5F8"/>
            <w:tcMar>
              <w:top w:w="140" w:type="dxa"/>
              <w:left w:w="200" w:type="dxa"/>
              <w:bottom w:w="140" w:type="dxa"/>
              <w:right w:w="200" w:type="dxa"/>
            </w:tcMar>
          </w:tcPr>
          <w:p w14:paraId="5D9B7003" w14:textId="1BBF7CC6" w:rsidR="000A3302" w:rsidRDefault="00D67E2C">
            <w:pPr>
              <w:spacing w:before="40" w:after="80"/>
            </w:pPr>
            <w:r>
              <w:rPr>
                <w:b/>
                <w:color w:val="1F4E79"/>
                <w:sz w:val="22"/>
              </w:rPr>
              <w:t>REGULAR BLOCK-HIRE ADDENDUM</w:t>
            </w:r>
            <w:r>
              <w:rPr>
                <w:b/>
                <w:color w:val="1F4E79"/>
                <w:sz w:val="22"/>
              </w:rPr>
              <w:br/>
            </w:r>
            <w:r>
              <w:rPr>
                <w:sz w:val="20"/>
              </w:rPr>
              <w:t>Special Framework for Block Bookings and Regular Multi-Hirers:</w:t>
            </w:r>
            <w:r>
              <w:br/>
            </w:r>
            <w:r>
              <w:rPr>
                <w:sz w:val="20"/>
              </w:rPr>
              <w:t xml:space="preserve">This document supplements the standard hire regulations and establishes the ongoing legal framework for regular, rolling, or block bookings at Fenstanton Community Hall. It defines the recurring responsibilities, invoicing </w:t>
            </w:r>
            <w:r w:rsidR="00621147">
              <w:rPr>
                <w:sz w:val="20"/>
              </w:rPr>
              <w:t>frequency</w:t>
            </w:r>
            <w:r>
              <w:rPr>
                <w:sz w:val="20"/>
              </w:rPr>
              <w:t>, and shared operational expectations required to maintain continuous community building safety and fairness.</w:t>
            </w:r>
          </w:p>
        </w:tc>
      </w:tr>
    </w:tbl>
    <w:p w14:paraId="3D2F9848" w14:textId="77777777" w:rsidR="000A3302" w:rsidRDefault="000A3302">
      <w:pPr>
        <w:spacing w:after="240"/>
      </w:pPr>
    </w:p>
    <w:p w14:paraId="65F1E549" w14:textId="77777777" w:rsidR="000A3302" w:rsidRDefault="00D67E2C">
      <w:pPr>
        <w:keepNext/>
        <w:spacing w:before="360" w:after="120"/>
      </w:pPr>
      <w:r>
        <w:rPr>
          <w:b/>
          <w:color w:val="1F4E79"/>
          <w:sz w:val="26"/>
        </w:rPr>
        <w:t>1. Application, Renewal, and Nature of Multi-Hire</w:t>
      </w:r>
    </w:p>
    <w:p w14:paraId="6BF39B8A" w14:textId="42DF1F17" w:rsidR="00A12690" w:rsidRDefault="00D67E2C">
      <w:pPr>
        <w:spacing w:after="160"/>
      </w:pPr>
      <w:r>
        <w:t>This agreement applies to all 'Block Bookings' or 'Multi-Hirers'—defined as any individual, group, or organisation booking more than five separate sessions or operating a recurring calendar pattern (e.g. weekly or monthly)</w:t>
      </w:r>
      <w:r w:rsidR="0073735B">
        <w:t>.</w:t>
      </w:r>
    </w:p>
    <w:p w14:paraId="0BF60747" w14:textId="17831499" w:rsidR="000A3302" w:rsidRDefault="00D67E2C">
      <w:pPr>
        <w:spacing w:after="160"/>
      </w:pPr>
      <w:r>
        <w:t xml:space="preserve">Multi-hire slots are granted on a rolling annual term and must be formally re-applied for and reviewed by the Trust ahead of each new academic or calendar </w:t>
      </w:r>
      <w:r w:rsidR="00837786">
        <w:t>year. The next review will be due on 01.01.202</w:t>
      </w:r>
      <w:r w:rsidR="00830A69">
        <w:t>7.</w:t>
      </w:r>
    </w:p>
    <w:p w14:paraId="67A98CB9" w14:textId="18D9178D" w:rsidR="00830A69" w:rsidRDefault="00732057">
      <w:pPr>
        <w:spacing w:after="160"/>
      </w:pPr>
      <w:r>
        <w:t>To encourage</w:t>
      </w:r>
      <w:r w:rsidR="00687427">
        <w:t xml:space="preserve"> new groups and activities to </w:t>
      </w:r>
      <w:r w:rsidR="000D2687">
        <w:t>assess the demand and viability</w:t>
      </w:r>
      <w:r w:rsidR="00A15DAF">
        <w:t>, an initial ‘trial period’ of up to 6 weeks</w:t>
      </w:r>
      <w:r w:rsidR="005456E4">
        <w:t xml:space="preserve">, at a </w:t>
      </w:r>
      <w:r w:rsidR="00510B10">
        <w:t>discounted ‘</w:t>
      </w:r>
      <w:r w:rsidR="005456E4">
        <w:t>early stage’ rate</w:t>
      </w:r>
      <w:r w:rsidR="00510B10">
        <w:t xml:space="preserve"> will be </w:t>
      </w:r>
      <w:r w:rsidR="004D5FC0">
        <w:t xml:space="preserve">available to </w:t>
      </w:r>
      <w:r w:rsidR="00C26528">
        <w:t xml:space="preserve">casual community </w:t>
      </w:r>
      <w:r w:rsidR="004D5FC0">
        <w:t>groups</w:t>
      </w:r>
      <w:r w:rsidR="00724386">
        <w:t xml:space="preserve"> or individuals</w:t>
      </w:r>
      <w:r w:rsidR="00111F78">
        <w:t xml:space="preserve">. During this period the hirer may cancel the </w:t>
      </w:r>
      <w:r w:rsidR="00D473F0">
        <w:t>multi</w:t>
      </w:r>
      <w:r w:rsidR="00111F78">
        <w:t>-hire booking</w:t>
      </w:r>
      <w:r w:rsidR="00760302">
        <w:t xml:space="preserve"> without penalty.</w:t>
      </w:r>
    </w:p>
    <w:p w14:paraId="7881D587" w14:textId="77777777" w:rsidR="000A3302" w:rsidRDefault="00D67E2C">
      <w:pPr>
        <w:keepNext/>
        <w:spacing w:before="360" w:after="120"/>
      </w:pPr>
      <w:r>
        <w:rPr>
          <w:b/>
          <w:color w:val="1F4E79"/>
          <w:sz w:val="26"/>
        </w:rPr>
        <w:t>2. Financial Framework: Invoicing, Deposits, and Arrears</w:t>
      </w:r>
    </w:p>
    <w:p w14:paraId="27E998BA" w14:textId="73B43968" w:rsidR="000A3302" w:rsidRDefault="00D67E2C">
      <w:pPr>
        <w:spacing w:after="80"/>
      </w:pPr>
      <w:r>
        <w:t>To streamline admin operations for recurring sessions,</w:t>
      </w:r>
      <w:r w:rsidR="00177A8F">
        <w:rPr>
          <w:bCs/>
        </w:rPr>
        <w:t xml:space="preserve"> </w:t>
      </w:r>
      <w:r w:rsidR="00B771F3" w:rsidRPr="00F91EA5">
        <w:rPr>
          <w:b/>
        </w:rPr>
        <w:t>unless by separate agreement</w:t>
      </w:r>
      <w:r w:rsidR="00177A8F">
        <w:rPr>
          <w:bCs/>
        </w:rPr>
        <w:t>,</w:t>
      </w:r>
      <w:r>
        <w:t xml:space="preserve"> the following financial rules apply:</w:t>
      </w:r>
    </w:p>
    <w:p w14:paraId="4794D4A3" w14:textId="596FA1AA" w:rsidR="000A3302" w:rsidRDefault="00D67E2C">
      <w:pPr>
        <w:pStyle w:val="ListBullet"/>
        <w:spacing w:after="80"/>
      </w:pPr>
      <w:r>
        <w:rPr>
          <w:b/>
        </w:rPr>
        <w:t xml:space="preserve">Invoicing </w:t>
      </w:r>
      <w:r w:rsidR="00F067D1">
        <w:rPr>
          <w:b/>
        </w:rPr>
        <w:t>Frequency</w:t>
      </w:r>
      <w:r>
        <w:rPr>
          <w:b/>
        </w:rPr>
        <w:t>:</w:t>
      </w:r>
      <w:r w:rsidR="00CC428B">
        <w:rPr>
          <w:b/>
        </w:rPr>
        <w:t xml:space="preserve"> </w:t>
      </w:r>
      <w:r w:rsidR="00F91EA5">
        <w:t>Multi</w:t>
      </w:r>
      <w:r w:rsidR="00BC1ED6">
        <w:t>-hirers</w:t>
      </w:r>
      <w:r>
        <w:t xml:space="preserve"> are invoiced monthly in advance. Payments must be cleared within 14 calendar days from the invoice date.</w:t>
      </w:r>
    </w:p>
    <w:p w14:paraId="33AE4C7B" w14:textId="77777777" w:rsidR="000A3302" w:rsidRDefault="00D67E2C">
      <w:pPr>
        <w:pStyle w:val="ListBullet"/>
        <w:spacing w:after="80"/>
      </w:pPr>
      <w:r>
        <w:rPr>
          <w:b/>
        </w:rPr>
        <w:t xml:space="preserve">Rolling Deposit: </w:t>
      </w:r>
      <w:r>
        <w:t>Instead of paying an individual deposit per session, block-hirers must maintain a fixed rolling security deposit with the Trust. This is held to cover key replacement, layout resets, or minor structural repairs.</w:t>
      </w:r>
    </w:p>
    <w:p w14:paraId="40B8C74D" w14:textId="77777777" w:rsidR="000A3302" w:rsidRDefault="00D67E2C">
      <w:pPr>
        <w:pStyle w:val="ListBullet"/>
        <w:spacing w:after="80"/>
      </w:pPr>
      <w:r>
        <w:rPr>
          <w:b/>
        </w:rPr>
        <w:t xml:space="preserve">Arrears &amp; Suspension: </w:t>
      </w:r>
      <w:r>
        <w:t>Failure to clear monthly accounts within the 14-day window will trigger an immediate administrative review. The Trust reserves the right to suspend all subsequent booked slots if arrears persist past 28 days.</w:t>
      </w:r>
    </w:p>
    <w:p w14:paraId="0BC2ACCB" w14:textId="7C342B57" w:rsidR="000A3302" w:rsidRDefault="00D67E2C">
      <w:pPr>
        <w:keepNext/>
        <w:spacing w:before="360" w:after="120"/>
      </w:pPr>
      <w:r>
        <w:rPr>
          <w:b/>
          <w:color w:val="1F4E79"/>
          <w:sz w:val="26"/>
        </w:rPr>
        <w:t>3. Cancellation Policy and Key Holding</w:t>
      </w:r>
    </w:p>
    <w:p w14:paraId="466B96BA" w14:textId="360BC783" w:rsidR="000A3302" w:rsidRDefault="00D67E2C">
      <w:pPr>
        <w:spacing w:after="80"/>
      </w:pPr>
      <w:r>
        <w:t>Because recurring slots block out highly valued community calendar spaces, cancellation provisions are tightly regulated</w:t>
      </w:r>
      <w:r w:rsidR="00CA40DE">
        <w:t xml:space="preserve">. </w:t>
      </w:r>
      <w:r w:rsidR="006108E0">
        <w:rPr>
          <w:b/>
        </w:rPr>
        <w:t>Unless</w:t>
      </w:r>
      <w:r w:rsidR="00CA40DE" w:rsidRPr="00F91EA5">
        <w:rPr>
          <w:b/>
        </w:rPr>
        <w:t xml:space="preserve"> by separate agreement</w:t>
      </w:r>
      <w:r w:rsidR="006108E0">
        <w:rPr>
          <w:bCs/>
        </w:rPr>
        <w:t>:</w:t>
      </w:r>
    </w:p>
    <w:p w14:paraId="28823324" w14:textId="5C5840C0" w:rsidR="000A3302" w:rsidRDefault="00D67E2C">
      <w:pPr>
        <w:pStyle w:val="ListBullet"/>
        <w:spacing w:after="80"/>
      </w:pPr>
      <w:r>
        <w:rPr>
          <w:b/>
        </w:rPr>
        <w:t xml:space="preserve">Hirer Cancellation: </w:t>
      </w:r>
      <w:r>
        <w:t xml:space="preserve">The Hirer must provide a minimum of </w:t>
      </w:r>
      <w:r w:rsidR="00B71D62">
        <w:t>14</w:t>
      </w:r>
      <w:r>
        <w:t xml:space="preserve"> days' written notice to cancel a single scheduled slot without charge. Cancellations within </w:t>
      </w:r>
      <w:r w:rsidR="00B71D62">
        <w:t>14</w:t>
      </w:r>
      <w:r>
        <w:t xml:space="preserve"> days remain fully payable.</w:t>
      </w:r>
    </w:p>
    <w:p w14:paraId="25F0B031" w14:textId="45386B78" w:rsidR="000A3302" w:rsidRDefault="00D67E2C">
      <w:pPr>
        <w:pStyle w:val="ListBullet"/>
        <w:spacing w:after="80"/>
      </w:pPr>
      <w:r>
        <w:rPr>
          <w:b/>
        </w:rPr>
        <w:lastRenderedPageBreak/>
        <w:t xml:space="preserve">Trust Overrides: </w:t>
      </w:r>
      <w:r>
        <w:t xml:space="preserve">The Trust reserves the right to cancel or reallocate an ongoing slot with </w:t>
      </w:r>
      <w:r w:rsidR="00F16BF7">
        <w:t>14</w:t>
      </w:r>
      <w:r>
        <w:t xml:space="preserve"> days' notice if the hall is required for exceptional local events, civic voting, or emergency repairs. The Trust will make reasonable efforts to offer alternative dates.</w:t>
      </w:r>
    </w:p>
    <w:p w14:paraId="1DA3FF8D" w14:textId="77777777" w:rsidR="000A3302" w:rsidRDefault="00D67E2C">
      <w:pPr>
        <w:pStyle w:val="ListBullet"/>
        <w:spacing w:after="80"/>
      </w:pPr>
      <w:r>
        <w:rPr>
          <w:b/>
        </w:rPr>
        <w:t xml:space="preserve">Key Security: </w:t>
      </w:r>
      <w:r>
        <w:t>Regular hirers granted key-holder access must sign a separate Key-Holder Code of Conduct. Keys or access codes must never be shared, copied, or transferred to unvetted personnel.</w:t>
      </w:r>
    </w:p>
    <w:p w14:paraId="378F7D18" w14:textId="77777777" w:rsidR="000A3302" w:rsidRDefault="00D67E2C">
      <w:pPr>
        <w:keepNext/>
        <w:spacing w:before="360" w:after="120"/>
      </w:pPr>
      <w:r>
        <w:rPr>
          <w:b/>
          <w:color w:val="1F4E79"/>
          <w:sz w:val="26"/>
        </w:rPr>
        <w:t>4. Mandatory Insurance and Corporate Indemnity</w:t>
      </w:r>
    </w:p>
    <w:p w14:paraId="16BED664" w14:textId="77777777" w:rsidR="000A3302" w:rsidRDefault="00D67E2C">
      <w:pPr>
        <w:spacing w:after="80"/>
      </w:pPr>
      <w:r>
        <w:t>Unlike one-off private family functions, ongoing community groups, sports clubs, or businesses are legally required to maintain individual operational protection:</w:t>
      </w:r>
    </w:p>
    <w:p w14:paraId="3233778C" w14:textId="77777777" w:rsidR="000A3302" w:rsidRDefault="00D67E2C">
      <w:pPr>
        <w:pStyle w:val="ListBullet"/>
        <w:spacing w:after="80"/>
      </w:pPr>
      <w:r>
        <w:rPr>
          <w:b/>
        </w:rPr>
        <w:t xml:space="preserve">Commercial &amp; Club Hirers: </w:t>
      </w:r>
      <w:r>
        <w:t>Commercial entities, fitness instructors, and formally organised clubs must maintain a standalone Public Liability Insurance policy providing a minimum indemnity limit of £5,000,000. A valid copy of the Certificate of Insurance must be provided annually.</w:t>
      </w:r>
    </w:p>
    <w:p w14:paraId="7B7DF8B1" w14:textId="5971CACF" w:rsidR="000A3302" w:rsidRDefault="00D67E2C">
      <w:pPr>
        <w:pStyle w:val="ListBullet"/>
        <w:spacing w:after="80"/>
      </w:pPr>
      <w:r>
        <w:rPr>
          <w:b/>
        </w:rPr>
        <w:t xml:space="preserve">Casual Community Groups: </w:t>
      </w:r>
      <w:r>
        <w:t>Small, informal non-profit community groups without standalone insurance may, at the absolute discretion of the Trust, be covered under the hall's umbrella policy, subject to a</w:t>
      </w:r>
      <w:r w:rsidR="00517EF1">
        <w:t>n</w:t>
      </w:r>
      <w:r>
        <w:t xml:space="preserve"> excess fee per claim</w:t>
      </w:r>
      <w:r w:rsidR="00105449">
        <w:t xml:space="preserve"> in line </w:t>
      </w:r>
      <w:r w:rsidR="003D623F">
        <w:t xml:space="preserve">with any excess stated in the Trust’s </w:t>
      </w:r>
      <w:r w:rsidR="006236E5">
        <w:t xml:space="preserve">current </w:t>
      </w:r>
      <w:r w:rsidR="003D623F">
        <w:t>insurance policy</w:t>
      </w:r>
      <w:r w:rsidR="006236E5">
        <w:t>.</w:t>
      </w:r>
    </w:p>
    <w:p w14:paraId="2ABA9F67" w14:textId="77777777" w:rsidR="000A3302" w:rsidRDefault="00D67E2C">
      <w:pPr>
        <w:keepNext/>
        <w:spacing w:before="360" w:after="120"/>
      </w:pPr>
      <w:r>
        <w:rPr>
          <w:b/>
          <w:color w:val="1F4E79"/>
          <w:sz w:val="26"/>
        </w:rPr>
        <w:t>5. Mandatory Safeguarding Protocols</w:t>
      </w:r>
    </w:p>
    <w:p w14:paraId="54820B0F" w14:textId="77777777" w:rsidR="000A3302" w:rsidRDefault="00D67E2C">
      <w:pPr>
        <w:spacing w:after="80"/>
      </w:pPr>
      <w:r>
        <w:t>In strict alignment with the Childcare Act 2006, block-hirers running children's activities, youth groups, or vulnerable adult clinics must satisfy continuous audit checkpoints:</w:t>
      </w:r>
    </w:p>
    <w:p w14:paraId="1BEF13B8" w14:textId="77777777" w:rsidR="000A3302" w:rsidRDefault="00D67E2C">
      <w:pPr>
        <w:pStyle w:val="ListBullet"/>
        <w:spacing w:after="80"/>
      </w:pPr>
      <w:r>
        <w:rPr>
          <w:b/>
        </w:rPr>
        <w:t xml:space="preserve">DBS Registers: </w:t>
      </w:r>
      <w:r>
        <w:t>The Hirer must formally submit an up-to-date schedule of all staff, coaches, or volunteers along with their current Disclosure and Barring Service (DBS) certificate numbers.</w:t>
      </w:r>
    </w:p>
    <w:p w14:paraId="3DD44872" w14:textId="77777777" w:rsidR="000A3302" w:rsidRDefault="00D67E2C">
      <w:pPr>
        <w:pStyle w:val="ListBullet"/>
        <w:spacing w:after="80"/>
      </w:pPr>
      <w:r>
        <w:rPr>
          <w:b/>
        </w:rPr>
        <w:t xml:space="preserve">Policy Integration: </w:t>
      </w:r>
      <w:r>
        <w:t>The group's independent Child Protection and Safeguarding Policy must be submitted alongside this agreement. The Hirer holds absolute legal liability for ensuring group behavior matches these uploaded guidelines.</w:t>
      </w:r>
    </w:p>
    <w:p w14:paraId="13EC05A6" w14:textId="77777777" w:rsidR="000A3302" w:rsidRDefault="00D67E2C">
      <w:pPr>
        <w:keepNext/>
        <w:spacing w:before="360" w:after="120"/>
      </w:pPr>
      <w:r>
        <w:rPr>
          <w:b/>
          <w:color w:val="1F4E79"/>
          <w:sz w:val="26"/>
        </w:rPr>
        <w:t>6. Dedicated Storage and Equipment Management</w:t>
      </w:r>
    </w:p>
    <w:p w14:paraId="60A168AD" w14:textId="77777777" w:rsidR="000A3302" w:rsidRDefault="00D67E2C">
      <w:pPr>
        <w:spacing w:after="80"/>
      </w:pPr>
      <w:r>
        <w:t>Due to overlapping schedules between multiple local groups, strict boundary management is required:</w:t>
      </w:r>
    </w:p>
    <w:p w14:paraId="2B39979B" w14:textId="20FE8239" w:rsidR="000A3302" w:rsidRDefault="00D67E2C">
      <w:pPr>
        <w:pStyle w:val="ListBullet"/>
        <w:spacing w:after="80"/>
      </w:pPr>
      <w:r>
        <w:rPr>
          <w:b/>
        </w:rPr>
        <w:t xml:space="preserve">Storage: </w:t>
      </w:r>
      <w:r>
        <w:t xml:space="preserve">No equipment, furniture, or props may be left in the main hall areas between sessions. All regular kit must be neatly packed away into the hirer's designated, storage </w:t>
      </w:r>
      <w:r w:rsidR="00886DDA">
        <w:t>box</w:t>
      </w:r>
      <w:r w:rsidR="004D1394">
        <w:t xml:space="preserve">, </w:t>
      </w:r>
      <w:r>
        <w:t>cupboard</w:t>
      </w:r>
      <w:r w:rsidR="004D1394">
        <w:t>, or area.</w:t>
      </w:r>
    </w:p>
    <w:p w14:paraId="5B79D838" w14:textId="77777777" w:rsidR="000A3302" w:rsidRDefault="00D67E2C">
      <w:pPr>
        <w:pStyle w:val="ListBullet"/>
        <w:spacing w:after="80"/>
      </w:pPr>
      <w:r>
        <w:rPr>
          <w:b/>
        </w:rPr>
        <w:t xml:space="preserve">Liability Disclaimer: </w:t>
      </w:r>
      <w:r>
        <w:t>The Trust accepts no liability for the loss, theft, or damage of any equipment or personal items stored on the premises by block-hirers. All stored items are left completely at the owner's risk.</w:t>
      </w:r>
    </w:p>
    <w:p w14:paraId="6C68BE0C" w14:textId="77777777" w:rsidR="000A3302" w:rsidRDefault="00D67E2C">
      <w:pPr>
        <w:pStyle w:val="ListBullet"/>
        <w:spacing w:after="80"/>
      </w:pPr>
      <w:r>
        <w:rPr>
          <w:b/>
        </w:rPr>
        <w:t xml:space="preserve">Electrical Compliance (PAT): </w:t>
      </w:r>
      <w:r>
        <w:t>Any portable electrical equipment brought into the building by a regular group must undergo annual Portable Appliance Testing (PAT). Valid PAT compliance stickers must be visible on all cables and hardware.</w:t>
      </w:r>
    </w:p>
    <w:p w14:paraId="094FCD2C" w14:textId="77777777" w:rsidR="000A3302" w:rsidRDefault="00D67E2C">
      <w:pPr>
        <w:keepNext/>
        <w:spacing w:before="360" w:after="120"/>
      </w:pPr>
      <w:r>
        <w:rPr>
          <w:b/>
          <w:color w:val="1F4E79"/>
          <w:sz w:val="26"/>
        </w:rPr>
        <w:t>7. Fire Emergency Procedures &amp; Pre-Event Checklist</w:t>
      </w:r>
    </w:p>
    <w:p w14:paraId="557EB95F" w14:textId="77777777" w:rsidR="000A3302" w:rsidRDefault="00D67E2C">
      <w:pPr>
        <w:spacing w:after="120"/>
      </w:pPr>
      <w:r>
        <w:t>Before the admission of any members of the public, visitors, or participants to ANY session, the Hirer must physically perform the following safety routine:</w:t>
      </w:r>
    </w:p>
    <w:tbl>
      <w:tblPr>
        <w:tblW w:w="0" w:type="auto"/>
        <w:jc w:val="center"/>
        <w:tblLayout w:type="fixed"/>
        <w:tblLook w:val="04A0" w:firstRow="1" w:lastRow="0" w:firstColumn="1" w:lastColumn="0" w:noHBand="0" w:noVBand="1"/>
      </w:tblPr>
      <w:tblGrid>
        <w:gridCol w:w="1728"/>
        <w:gridCol w:w="7200"/>
      </w:tblGrid>
      <w:tr w:rsidR="000A3302" w14:paraId="1846E3F9" w14:textId="77777777">
        <w:trPr>
          <w:jc w:val="center"/>
        </w:trPr>
        <w:tc>
          <w:tcPr>
            <w:tcW w:w="1728" w:type="dxa"/>
            <w:shd w:val="clear" w:color="auto" w:fill="1F4E79"/>
            <w:tcMar>
              <w:top w:w="120" w:type="dxa"/>
              <w:left w:w="120" w:type="dxa"/>
              <w:bottom w:w="120" w:type="dxa"/>
              <w:right w:w="120" w:type="dxa"/>
            </w:tcMar>
          </w:tcPr>
          <w:p w14:paraId="799A47AD" w14:textId="77777777" w:rsidR="000A3302" w:rsidRDefault="00D67E2C">
            <w:r>
              <w:rPr>
                <w:b/>
                <w:color w:val="FFFFFF"/>
                <w:sz w:val="20"/>
              </w:rPr>
              <w:lastRenderedPageBreak/>
              <w:t>Step / Order</w:t>
            </w:r>
          </w:p>
        </w:tc>
        <w:tc>
          <w:tcPr>
            <w:tcW w:w="7200" w:type="dxa"/>
            <w:shd w:val="clear" w:color="auto" w:fill="1F4E79"/>
            <w:tcMar>
              <w:top w:w="120" w:type="dxa"/>
              <w:left w:w="120" w:type="dxa"/>
              <w:bottom w:w="120" w:type="dxa"/>
              <w:right w:w="120" w:type="dxa"/>
            </w:tcMar>
          </w:tcPr>
          <w:p w14:paraId="2EBCB3B5" w14:textId="77777777" w:rsidR="000A3302" w:rsidRDefault="00D67E2C">
            <w:r>
              <w:rPr>
                <w:b/>
                <w:color w:val="FFFFFF"/>
                <w:sz w:val="20"/>
              </w:rPr>
              <w:t>Mandatory Pre-Session Action Item</w:t>
            </w:r>
          </w:p>
        </w:tc>
      </w:tr>
      <w:tr w:rsidR="000A3302" w14:paraId="796F512F" w14:textId="77777777">
        <w:trPr>
          <w:jc w:val="center"/>
        </w:trPr>
        <w:tc>
          <w:tcPr>
            <w:tcW w:w="1728" w:type="dxa"/>
            <w:shd w:val="clear" w:color="auto" w:fill="FFFFFF"/>
            <w:tcMar>
              <w:top w:w="100" w:type="dxa"/>
              <w:left w:w="120" w:type="dxa"/>
              <w:bottom w:w="100" w:type="dxa"/>
              <w:right w:w="120" w:type="dxa"/>
            </w:tcMar>
          </w:tcPr>
          <w:p w14:paraId="72A48A4A" w14:textId="77777777" w:rsidR="000A3302" w:rsidRDefault="00D67E2C">
            <w:r>
              <w:rPr>
                <w:b/>
                <w:sz w:val="19"/>
              </w:rPr>
              <w:t>Step 1</w:t>
            </w:r>
          </w:p>
        </w:tc>
        <w:tc>
          <w:tcPr>
            <w:tcW w:w="7200" w:type="dxa"/>
            <w:shd w:val="clear" w:color="auto" w:fill="FFFFFF"/>
            <w:tcMar>
              <w:top w:w="100" w:type="dxa"/>
              <w:left w:w="120" w:type="dxa"/>
              <w:bottom w:w="100" w:type="dxa"/>
              <w:right w:w="120" w:type="dxa"/>
            </w:tcMar>
          </w:tcPr>
          <w:p w14:paraId="2D5A39FC" w14:textId="77777777" w:rsidR="000A3302" w:rsidRDefault="00D67E2C">
            <w:r>
              <w:rPr>
                <w:sz w:val="19"/>
              </w:rPr>
              <w:t>Verify Fire Exits: Check all designated emergency doors to confirm they are completely unlocked, security bolts are functioning smoothly, and escape push-bars actuate instantly.</w:t>
            </w:r>
          </w:p>
        </w:tc>
      </w:tr>
      <w:tr w:rsidR="000A3302" w14:paraId="048B2C4B" w14:textId="77777777">
        <w:trPr>
          <w:jc w:val="center"/>
        </w:trPr>
        <w:tc>
          <w:tcPr>
            <w:tcW w:w="1728" w:type="dxa"/>
            <w:shd w:val="clear" w:color="auto" w:fill="F9FAFB"/>
            <w:tcMar>
              <w:top w:w="100" w:type="dxa"/>
              <w:left w:w="120" w:type="dxa"/>
              <w:bottom w:w="100" w:type="dxa"/>
              <w:right w:w="120" w:type="dxa"/>
            </w:tcMar>
          </w:tcPr>
          <w:p w14:paraId="3E8A73B5" w14:textId="77777777" w:rsidR="000A3302" w:rsidRDefault="00D67E2C">
            <w:r>
              <w:rPr>
                <w:b/>
                <w:sz w:val="19"/>
              </w:rPr>
              <w:t>Step 2</w:t>
            </w:r>
          </w:p>
        </w:tc>
        <w:tc>
          <w:tcPr>
            <w:tcW w:w="7200" w:type="dxa"/>
            <w:shd w:val="clear" w:color="auto" w:fill="F9FAFB"/>
            <w:tcMar>
              <w:top w:w="100" w:type="dxa"/>
              <w:left w:w="120" w:type="dxa"/>
              <w:bottom w:w="100" w:type="dxa"/>
              <w:right w:w="120" w:type="dxa"/>
            </w:tcMar>
          </w:tcPr>
          <w:p w14:paraId="6085B55A" w14:textId="77777777" w:rsidR="000A3302" w:rsidRDefault="00D67E2C">
            <w:r>
              <w:rPr>
                <w:sz w:val="19"/>
              </w:rPr>
              <w:t>Clear Escape Routes: Visually inspect internal corridors and external exit pathways to ensure they are 100% free from physical obstructions, stray furniture, tables, or refuse.</w:t>
            </w:r>
          </w:p>
        </w:tc>
      </w:tr>
      <w:tr w:rsidR="000A3302" w14:paraId="7AC58170" w14:textId="77777777">
        <w:trPr>
          <w:jc w:val="center"/>
        </w:trPr>
        <w:tc>
          <w:tcPr>
            <w:tcW w:w="1728" w:type="dxa"/>
            <w:shd w:val="clear" w:color="auto" w:fill="FFFFFF"/>
            <w:tcMar>
              <w:top w:w="100" w:type="dxa"/>
              <w:left w:w="120" w:type="dxa"/>
              <w:bottom w:w="100" w:type="dxa"/>
              <w:right w:w="120" w:type="dxa"/>
            </w:tcMar>
          </w:tcPr>
          <w:p w14:paraId="6A2EF09E" w14:textId="77777777" w:rsidR="000A3302" w:rsidRDefault="00D67E2C">
            <w:r>
              <w:rPr>
                <w:b/>
                <w:sz w:val="19"/>
              </w:rPr>
              <w:t>Step 3</w:t>
            </w:r>
          </w:p>
        </w:tc>
        <w:tc>
          <w:tcPr>
            <w:tcW w:w="7200" w:type="dxa"/>
            <w:shd w:val="clear" w:color="auto" w:fill="FFFFFF"/>
            <w:tcMar>
              <w:top w:w="100" w:type="dxa"/>
              <w:left w:w="120" w:type="dxa"/>
              <w:bottom w:w="100" w:type="dxa"/>
              <w:right w:w="120" w:type="dxa"/>
            </w:tcMar>
          </w:tcPr>
          <w:p w14:paraId="25D1C028" w14:textId="77777777" w:rsidR="000A3302" w:rsidRDefault="00D67E2C">
            <w:r>
              <w:rPr>
                <w:sz w:val="19"/>
              </w:rPr>
              <w:t>Inspect Self-Closing Doors: Confirm that no internal self-closing fire barrier doors are wedged, propped, or tied open, as they must close automatically to contain smoke.</w:t>
            </w:r>
          </w:p>
        </w:tc>
      </w:tr>
      <w:tr w:rsidR="000A3302" w14:paraId="34288F69" w14:textId="77777777">
        <w:trPr>
          <w:jc w:val="center"/>
        </w:trPr>
        <w:tc>
          <w:tcPr>
            <w:tcW w:w="1728" w:type="dxa"/>
            <w:shd w:val="clear" w:color="auto" w:fill="F9FAFB"/>
            <w:tcMar>
              <w:top w:w="100" w:type="dxa"/>
              <w:left w:w="120" w:type="dxa"/>
              <w:bottom w:w="100" w:type="dxa"/>
              <w:right w:w="120" w:type="dxa"/>
            </w:tcMar>
          </w:tcPr>
          <w:p w14:paraId="0603ADC3" w14:textId="77777777" w:rsidR="000A3302" w:rsidRDefault="00D67E2C">
            <w:r>
              <w:rPr>
                <w:b/>
                <w:sz w:val="19"/>
              </w:rPr>
              <w:t>Step 4</w:t>
            </w:r>
          </w:p>
        </w:tc>
        <w:tc>
          <w:tcPr>
            <w:tcW w:w="7200" w:type="dxa"/>
            <w:shd w:val="clear" w:color="auto" w:fill="F9FAFB"/>
            <w:tcMar>
              <w:top w:w="100" w:type="dxa"/>
              <w:left w:w="120" w:type="dxa"/>
              <w:bottom w:w="100" w:type="dxa"/>
              <w:right w:w="120" w:type="dxa"/>
            </w:tcMar>
          </w:tcPr>
          <w:p w14:paraId="562DBFEB" w14:textId="77777777" w:rsidR="000A3302" w:rsidRDefault="00D67E2C">
            <w:r>
              <w:rPr>
                <w:sz w:val="19"/>
              </w:rPr>
              <w:t>Confirm Signage &amp; Assembly: Verify all illuminated exit signs are active, note the precise location of the on-site Accident Book, and familiarize staff with the external Fire Assembly Point.</w:t>
            </w:r>
          </w:p>
        </w:tc>
      </w:tr>
    </w:tbl>
    <w:p w14:paraId="13127E59" w14:textId="77777777" w:rsidR="000A3302" w:rsidRDefault="000A3302">
      <w:pPr>
        <w:spacing w:after="240"/>
      </w:pPr>
    </w:p>
    <w:p w14:paraId="4785CF95" w14:textId="77777777" w:rsidR="000A3302" w:rsidRDefault="00D67E2C">
      <w:pPr>
        <w:keepNext/>
        <w:spacing w:before="360" w:after="120"/>
      </w:pPr>
      <w:r>
        <w:rPr>
          <w:b/>
          <w:color w:val="1F4E79"/>
          <w:sz w:val="26"/>
        </w:rPr>
        <w:t>8. Session Turnaround and Eco-Stewardship</w:t>
      </w:r>
    </w:p>
    <w:p w14:paraId="73796A42" w14:textId="7A58502E" w:rsidR="000A3302" w:rsidRDefault="00D67E2C">
      <w:pPr>
        <w:spacing w:after="80"/>
      </w:pPr>
      <w:r>
        <w:t xml:space="preserve">Because multiple groups </w:t>
      </w:r>
      <w:proofErr w:type="spellStart"/>
      <w:r w:rsidR="000C4A59">
        <w:t>utilise</w:t>
      </w:r>
      <w:proofErr w:type="spellEnd"/>
      <w:r>
        <w:t xml:space="preserve"> the space in rapid succession, the clear-</w:t>
      </w:r>
      <w:r w:rsidR="006D7456">
        <w:t>up</w:t>
      </w:r>
      <w:r>
        <w:t xml:space="preserve"> window must be managed efficiently:</w:t>
      </w:r>
    </w:p>
    <w:p w14:paraId="13EE4BBB" w14:textId="03D06BF3" w:rsidR="000A3302" w:rsidRDefault="00D67E2C">
      <w:pPr>
        <w:pStyle w:val="ListBullet"/>
        <w:spacing w:after="80"/>
      </w:pPr>
      <w:r>
        <w:rPr>
          <w:b/>
        </w:rPr>
        <w:t xml:space="preserve">Punctuality Buffer: </w:t>
      </w:r>
      <w:r>
        <w:t xml:space="preserve">The booked slot explicitly includes setup and </w:t>
      </w:r>
      <w:r w:rsidR="00AF1D19">
        <w:t>pack-up</w:t>
      </w:r>
      <w:r>
        <w:t xml:space="preserve"> times. Sessions must end on time to prevent delays for the subsequent user.</w:t>
      </w:r>
    </w:p>
    <w:p w14:paraId="37DC1209" w14:textId="54DC2687" w:rsidR="000A3302" w:rsidRDefault="00D67E2C">
      <w:pPr>
        <w:pStyle w:val="ListBullet"/>
        <w:spacing w:after="80"/>
      </w:pPr>
      <w:r>
        <w:rPr>
          <w:b/>
        </w:rPr>
        <w:t xml:space="preserve">Cleanliness: </w:t>
      </w:r>
      <w:r>
        <w:t>The hall must be left clean and tidy, with all rubbish</w:t>
      </w:r>
      <w:r w:rsidR="007D2F57">
        <w:t xml:space="preserve"> </w:t>
      </w:r>
      <w:r w:rsidR="005B5104">
        <w:t xml:space="preserve">taken away </w:t>
      </w:r>
      <w:r>
        <w:t>by the</w:t>
      </w:r>
      <w:r w:rsidR="005B5104">
        <w:t xml:space="preserve"> hirer</w:t>
      </w:r>
      <w:r>
        <w:t>. If the hall requires professional cleaning following a session, the cost will be billed to the hirer.</w:t>
      </w:r>
    </w:p>
    <w:p w14:paraId="10ACB997" w14:textId="5780D5D5" w:rsidR="000A3302" w:rsidRDefault="00D67E2C">
      <w:pPr>
        <w:pStyle w:val="ListBullet"/>
        <w:spacing w:after="80"/>
      </w:pPr>
      <w:r>
        <w:rPr>
          <w:b/>
        </w:rPr>
        <w:t xml:space="preserve">Lockup Verification: </w:t>
      </w:r>
      <w:r>
        <w:t xml:space="preserve">The final session leader of the evening must </w:t>
      </w:r>
      <w:r w:rsidR="0017284B">
        <w:t>ensure</w:t>
      </w:r>
      <w:r>
        <w:t xml:space="preserve"> all windows are secured, lights are switched off, and the primary entry systems are fully locked.</w:t>
      </w:r>
    </w:p>
    <w:p w14:paraId="4D5892EC" w14:textId="77777777" w:rsidR="000A3302" w:rsidRDefault="000A3302">
      <w:pPr>
        <w:spacing w:after="320"/>
      </w:pPr>
    </w:p>
    <w:tbl>
      <w:tblPr>
        <w:tblW w:w="0" w:type="auto"/>
        <w:jc w:val="center"/>
        <w:tblLayout w:type="fixed"/>
        <w:tblLook w:val="04A0" w:firstRow="1" w:lastRow="0" w:firstColumn="1" w:lastColumn="0" w:noHBand="0" w:noVBand="1"/>
      </w:tblPr>
      <w:tblGrid>
        <w:gridCol w:w="8928"/>
      </w:tblGrid>
      <w:tr w:rsidR="000A3302" w14:paraId="305C139E" w14:textId="77777777">
        <w:trPr>
          <w:jc w:val="center"/>
        </w:trPr>
        <w:tc>
          <w:tcPr>
            <w:tcW w:w="8928" w:type="dxa"/>
            <w:tcBorders>
              <w:left w:val="single" w:sz="24" w:space="0" w:color="1F4E79"/>
            </w:tcBorders>
            <w:shd w:val="clear" w:color="auto" w:fill="F2F5F8"/>
            <w:tcMar>
              <w:top w:w="140" w:type="dxa"/>
              <w:left w:w="200" w:type="dxa"/>
              <w:bottom w:w="140" w:type="dxa"/>
              <w:right w:w="200" w:type="dxa"/>
            </w:tcMar>
          </w:tcPr>
          <w:p w14:paraId="5A0942FF" w14:textId="77777777" w:rsidR="000A3302" w:rsidRDefault="00D67E2C">
            <w:pPr>
              <w:spacing w:before="40" w:after="80"/>
            </w:pPr>
            <w:r>
              <w:rPr>
                <w:b/>
                <w:color w:val="1F4E79"/>
                <w:sz w:val="22"/>
              </w:rPr>
              <w:t>CRITICAL INSURANCE EXCLUSION: INFLATABLES &amp; BOUNCY CASTLES</w:t>
            </w:r>
            <w:r>
              <w:rPr>
                <w:b/>
                <w:color w:val="1F4E79"/>
                <w:sz w:val="22"/>
              </w:rPr>
              <w:br/>
            </w:r>
            <w:r>
              <w:rPr>
                <w:sz w:val="20"/>
              </w:rPr>
              <w:t>In direct alignment with the standard Cambridgeshire ACRE liability insurance framework, the Trust's institutional Public Liability Policy completely excludes any coverage for claims, personal accidents, or damages arising from the use of bouncy castles or other commercial inflatable entertainment devices.</w:t>
            </w:r>
            <w:r>
              <w:br/>
            </w:r>
            <w:r>
              <w:rPr>
                <w:sz w:val="20"/>
              </w:rPr>
              <w:t>Bouncy castles and external inflatables are strictly prohibited from entering the facility or surrounding grounds unless the Hirer sources a separate, comprehensive independent insurance certificate which has been reviewed and vetted in writing by the Trust's booking clerk prior to the event date.</w:t>
            </w:r>
          </w:p>
        </w:tc>
      </w:tr>
    </w:tbl>
    <w:p w14:paraId="57696C37" w14:textId="77777777" w:rsidR="000A3302" w:rsidRDefault="000A3302">
      <w:pPr>
        <w:spacing w:after="480"/>
      </w:pPr>
    </w:p>
    <w:p w14:paraId="02694F54" w14:textId="77777777" w:rsidR="000A3302" w:rsidRDefault="00D67E2C">
      <w:pPr>
        <w:keepNext/>
        <w:spacing w:before="360" w:after="120"/>
      </w:pPr>
      <w:r>
        <w:rPr>
          <w:b/>
          <w:color w:val="1F4E79"/>
          <w:sz w:val="26"/>
        </w:rPr>
        <w:lastRenderedPageBreak/>
        <w:t>9. Multi-Hire Framework Declaration and Signing Panel</w:t>
      </w:r>
    </w:p>
    <w:p w14:paraId="1D14F8B9" w14:textId="77777777" w:rsidR="000A3302" w:rsidRDefault="00D67E2C">
      <w:pPr>
        <w:spacing w:before="120" w:after="360"/>
      </w:pPr>
      <w:r>
        <w:rPr>
          <w:i/>
          <w:color w:val="595959"/>
        </w:rPr>
        <w:t>By executing this document below, the Hirer acknowledges that this Multi-Hire Framework establishes a binding continuous contract governing all recurring bookings at Fenstanton Community Hall. The Hirer verifies that all individual club policies, insurance indexes, and safeguarding registries will be maintained in an up-to-date state and submitted to the Trust automatically upon renewal.</w:t>
      </w:r>
    </w:p>
    <w:tbl>
      <w:tblPr>
        <w:tblW w:w="0" w:type="auto"/>
        <w:jc w:val="center"/>
        <w:tblLayout w:type="fixed"/>
        <w:tblLook w:val="04A0" w:firstRow="1" w:lastRow="0" w:firstColumn="1" w:lastColumn="0" w:noHBand="0" w:noVBand="1"/>
      </w:tblPr>
      <w:tblGrid>
        <w:gridCol w:w="4464"/>
        <w:gridCol w:w="4464"/>
      </w:tblGrid>
      <w:tr w:rsidR="000A3302" w14:paraId="020B394E" w14:textId="77777777">
        <w:trPr>
          <w:jc w:val="center"/>
        </w:trPr>
        <w:tc>
          <w:tcPr>
            <w:tcW w:w="4464" w:type="dxa"/>
            <w:shd w:val="clear" w:color="auto" w:fill="F2F5F8"/>
            <w:tcMar>
              <w:top w:w="80" w:type="dxa"/>
              <w:left w:w="100" w:type="dxa"/>
              <w:bottom w:w="80" w:type="dxa"/>
              <w:right w:w="100" w:type="dxa"/>
            </w:tcMar>
          </w:tcPr>
          <w:p w14:paraId="48969552" w14:textId="77777777" w:rsidR="000A3302" w:rsidRDefault="00D67E2C">
            <w:pPr>
              <w:spacing w:after="40" w:line="240" w:lineRule="auto"/>
            </w:pPr>
            <w:r>
              <w:rPr>
                <w:b/>
                <w:color w:val="1F4E79"/>
                <w:sz w:val="20"/>
              </w:rPr>
              <w:t>Authorised Group / Hirer Representative:</w:t>
            </w:r>
          </w:p>
        </w:tc>
        <w:tc>
          <w:tcPr>
            <w:tcW w:w="4464" w:type="dxa"/>
            <w:shd w:val="clear" w:color="auto" w:fill="F2F5F8"/>
            <w:tcMar>
              <w:top w:w="80" w:type="dxa"/>
              <w:left w:w="100" w:type="dxa"/>
              <w:bottom w:w="80" w:type="dxa"/>
              <w:right w:w="100" w:type="dxa"/>
            </w:tcMar>
          </w:tcPr>
          <w:p w14:paraId="53EB398A" w14:textId="77777777" w:rsidR="000A3302" w:rsidRDefault="00D67E2C">
            <w:pPr>
              <w:spacing w:after="40" w:line="240" w:lineRule="auto"/>
            </w:pPr>
            <w:r>
              <w:rPr>
                <w:b/>
                <w:color w:val="1F4E79"/>
                <w:sz w:val="20"/>
              </w:rPr>
              <w:t>Signed on behalf of Fenstanton Village Hall Trust:</w:t>
            </w:r>
          </w:p>
        </w:tc>
      </w:tr>
      <w:tr w:rsidR="000A3302" w14:paraId="73A7B186" w14:textId="77777777">
        <w:trPr>
          <w:jc w:val="center"/>
        </w:trPr>
        <w:tc>
          <w:tcPr>
            <w:tcW w:w="4464" w:type="dxa"/>
            <w:tcMar>
              <w:top w:w="80" w:type="dxa"/>
              <w:left w:w="100" w:type="dxa"/>
              <w:bottom w:w="80" w:type="dxa"/>
              <w:right w:w="100" w:type="dxa"/>
            </w:tcMar>
          </w:tcPr>
          <w:p w14:paraId="03A21478" w14:textId="77777777" w:rsidR="000A3302" w:rsidRDefault="00D67E2C">
            <w:pPr>
              <w:spacing w:after="40" w:line="240" w:lineRule="auto"/>
            </w:pPr>
            <w:r>
              <w:rPr>
                <w:sz w:val="20"/>
              </w:rPr>
              <w:br/>
              <w:t>Organisation Name: ____________________</w:t>
            </w:r>
          </w:p>
        </w:tc>
        <w:tc>
          <w:tcPr>
            <w:tcW w:w="4464" w:type="dxa"/>
            <w:tcMar>
              <w:top w:w="80" w:type="dxa"/>
              <w:left w:w="100" w:type="dxa"/>
              <w:bottom w:w="80" w:type="dxa"/>
              <w:right w:w="100" w:type="dxa"/>
            </w:tcMar>
          </w:tcPr>
          <w:p w14:paraId="7BF7FCBC" w14:textId="77777777" w:rsidR="000A3302" w:rsidRDefault="000A3302">
            <w:pPr>
              <w:spacing w:after="40" w:line="240" w:lineRule="auto"/>
            </w:pPr>
          </w:p>
        </w:tc>
      </w:tr>
      <w:tr w:rsidR="000A3302" w14:paraId="027F9A41" w14:textId="77777777">
        <w:trPr>
          <w:jc w:val="center"/>
        </w:trPr>
        <w:tc>
          <w:tcPr>
            <w:tcW w:w="4464" w:type="dxa"/>
            <w:tcMar>
              <w:top w:w="80" w:type="dxa"/>
              <w:left w:w="100" w:type="dxa"/>
              <w:bottom w:w="80" w:type="dxa"/>
              <w:right w:w="100" w:type="dxa"/>
            </w:tcMar>
          </w:tcPr>
          <w:p w14:paraId="03525632" w14:textId="77777777" w:rsidR="000A3302" w:rsidRDefault="00D67E2C">
            <w:pPr>
              <w:spacing w:after="40" w:line="240" w:lineRule="auto"/>
            </w:pPr>
            <w:r>
              <w:rPr>
                <w:sz w:val="20"/>
              </w:rPr>
              <w:br/>
              <w:t>Signature: ___________________________</w:t>
            </w:r>
          </w:p>
        </w:tc>
        <w:tc>
          <w:tcPr>
            <w:tcW w:w="4464" w:type="dxa"/>
            <w:tcMar>
              <w:top w:w="80" w:type="dxa"/>
              <w:left w:w="100" w:type="dxa"/>
              <w:bottom w:w="80" w:type="dxa"/>
              <w:right w:w="100" w:type="dxa"/>
            </w:tcMar>
          </w:tcPr>
          <w:p w14:paraId="08C18107" w14:textId="77777777" w:rsidR="000A3302" w:rsidRDefault="00D67E2C">
            <w:pPr>
              <w:spacing w:after="40" w:line="240" w:lineRule="auto"/>
            </w:pPr>
            <w:r>
              <w:rPr>
                <w:sz w:val="20"/>
              </w:rPr>
              <w:br/>
              <w:t>Signature: ___________________________</w:t>
            </w:r>
          </w:p>
        </w:tc>
      </w:tr>
      <w:tr w:rsidR="000A3302" w14:paraId="7316E354" w14:textId="77777777">
        <w:trPr>
          <w:jc w:val="center"/>
        </w:trPr>
        <w:tc>
          <w:tcPr>
            <w:tcW w:w="4464" w:type="dxa"/>
            <w:tcMar>
              <w:top w:w="80" w:type="dxa"/>
              <w:left w:w="100" w:type="dxa"/>
              <w:bottom w:w="80" w:type="dxa"/>
              <w:right w:w="100" w:type="dxa"/>
            </w:tcMar>
          </w:tcPr>
          <w:p w14:paraId="744D5644" w14:textId="77777777" w:rsidR="000A3302" w:rsidRDefault="00D67E2C">
            <w:pPr>
              <w:spacing w:after="40" w:line="240" w:lineRule="auto"/>
            </w:pPr>
            <w:r>
              <w:rPr>
                <w:sz w:val="20"/>
              </w:rPr>
              <w:br/>
              <w:t>Print Name: __________________________</w:t>
            </w:r>
          </w:p>
        </w:tc>
        <w:tc>
          <w:tcPr>
            <w:tcW w:w="4464" w:type="dxa"/>
            <w:tcMar>
              <w:top w:w="80" w:type="dxa"/>
              <w:left w:w="100" w:type="dxa"/>
              <w:bottom w:w="80" w:type="dxa"/>
              <w:right w:w="100" w:type="dxa"/>
            </w:tcMar>
          </w:tcPr>
          <w:p w14:paraId="55F35529" w14:textId="77777777" w:rsidR="000A3302" w:rsidRDefault="00D67E2C">
            <w:pPr>
              <w:spacing w:after="40" w:line="240" w:lineRule="auto"/>
            </w:pPr>
            <w:r>
              <w:rPr>
                <w:sz w:val="20"/>
              </w:rPr>
              <w:br/>
              <w:t>Print Name: __________________________</w:t>
            </w:r>
          </w:p>
        </w:tc>
      </w:tr>
      <w:tr w:rsidR="000A3302" w14:paraId="4AAD8401" w14:textId="77777777">
        <w:trPr>
          <w:jc w:val="center"/>
        </w:trPr>
        <w:tc>
          <w:tcPr>
            <w:tcW w:w="4464" w:type="dxa"/>
            <w:tcMar>
              <w:top w:w="80" w:type="dxa"/>
              <w:left w:w="100" w:type="dxa"/>
              <w:bottom w:w="80" w:type="dxa"/>
              <w:right w:w="100" w:type="dxa"/>
            </w:tcMar>
          </w:tcPr>
          <w:p w14:paraId="501BFAC3" w14:textId="77777777" w:rsidR="000A3302" w:rsidRDefault="00D67E2C">
            <w:pPr>
              <w:spacing w:after="40" w:line="240" w:lineRule="auto"/>
            </w:pPr>
            <w:r>
              <w:rPr>
                <w:sz w:val="20"/>
              </w:rPr>
              <w:br/>
              <w:t>Position/Role: ________________________</w:t>
            </w:r>
          </w:p>
        </w:tc>
        <w:tc>
          <w:tcPr>
            <w:tcW w:w="4464" w:type="dxa"/>
            <w:tcMar>
              <w:top w:w="80" w:type="dxa"/>
              <w:left w:w="100" w:type="dxa"/>
              <w:bottom w:w="80" w:type="dxa"/>
              <w:right w:w="100" w:type="dxa"/>
            </w:tcMar>
          </w:tcPr>
          <w:p w14:paraId="5C6FDE3C" w14:textId="77777777" w:rsidR="000A3302" w:rsidRDefault="00D67E2C">
            <w:pPr>
              <w:spacing w:after="40" w:line="240" w:lineRule="auto"/>
            </w:pPr>
            <w:r>
              <w:rPr>
                <w:sz w:val="20"/>
              </w:rPr>
              <w:br/>
              <w:t>Position/Role: ________________________</w:t>
            </w:r>
          </w:p>
        </w:tc>
      </w:tr>
      <w:tr w:rsidR="000A3302" w14:paraId="1F67A905" w14:textId="77777777">
        <w:trPr>
          <w:jc w:val="center"/>
        </w:trPr>
        <w:tc>
          <w:tcPr>
            <w:tcW w:w="4464" w:type="dxa"/>
            <w:tcMar>
              <w:top w:w="80" w:type="dxa"/>
              <w:left w:w="100" w:type="dxa"/>
              <w:bottom w:w="80" w:type="dxa"/>
              <w:right w:w="100" w:type="dxa"/>
            </w:tcMar>
          </w:tcPr>
          <w:p w14:paraId="7DADFCE4" w14:textId="77777777" w:rsidR="000A3302" w:rsidRDefault="00D67E2C">
            <w:pPr>
              <w:spacing w:after="40" w:line="240" w:lineRule="auto"/>
            </w:pPr>
            <w:r>
              <w:rPr>
                <w:sz w:val="20"/>
              </w:rPr>
              <w:br/>
              <w:t>Date: _______________________________</w:t>
            </w:r>
          </w:p>
        </w:tc>
        <w:tc>
          <w:tcPr>
            <w:tcW w:w="4464" w:type="dxa"/>
            <w:tcMar>
              <w:top w:w="80" w:type="dxa"/>
              <w:left w:w="100" w:type="dxa"/>
              <w:bottom w:w="80" w:type="dxa"/>
              <w:right w:w="100" w:type="dxa"/>
            </w:tcMar>
          </w:tcPr>
          <w:p w14:paraId="16CBB190" w14:textId="77777777" w:rsidR="000A3302" w:rsidRDefault="00D67E2C">
            <w:pPr>
              <w:spacing w:after="40" w:line="240" w:lineRule="auto"/>
            </w:pPr>
            <w:r>
              <w:rPr>
                <w:sz w:val="20"/>
              </w:rPr>
              <w:br/>
              <w:t>Date: _______________________________</w:t>
            </w:r>
          </w:p>
        </w:tc>
      </w:tr>
      <w:tr w:rsidR="000A3302" w14:paraId="746B8A4A" w14:textId="77777777">
        <w:trPr>
          <w:jc w:val="center"/>
        </w:trPr>
        <w:tc>
          <w:tcPr>
            <w:tcW w:w="4464" w:type="dxa"/>
            <w:tcMar>
              <w:top w:w="80" w:type="dxa"/>
              <w:left w:w="100" w:type="dxa"/>
              <w:bottom w:w="80" w:type="dxa"/>
              <w:right w:w="100" w:type="dxa"/>
            </w:tcMar>
          </w:tcPr>
          <w:p w14:paraId="66CBF822" w14:textId="77777777" w:rsidR="000A3302" w:rsidRDefault="00D67E2C">
            <w:pPr>
              <w:spacing w:after="40" w:line="240" w:lineRule="auto"/>
            </w:pPr>
            <w:r>
              <w:rPr>
                <w:sz w:val="20"/>
              </w:rPr>
              <w:br/>
              <w:t>Contact Number: ______________________</w:t>
            </w:r>
          </w:p>
        </w:tc>
        <w:tc>
          <w:tcPr>
            <w:tcW w:w="4464" w:type="dxa"/>
            <w:tcMar>
              <w:top w:w="80" w:type="dxa"/>
              <w:left w:w="100" w:type="dxa"/>
              <w:bottom w:w="80" w:type="dxa"/>
              <w:right w:w="100" w:type="dxa"/>
            </w:tcMar>
          </w:tcPr>
          <w:p w14:paraId="39FB2FF5" w14:textId="77777777" w:rsidR="000A3302" w:rsidRDefault="000A3302">
            <w:pPr>
              <w:spacing w:after="40" w:line="240" w:lineRule="auto"/>
            </w:pPr>
          </w:p>
        </w:tc>
      </w:tr>
    </w:tbl>
    <w:p w14:paraId="5CA5333D" w14:textId="77777777" w:rsidR="00E512A7" w:rsidRDefault="00E512A7"/>
    <w:sectPr w:rsidR="00E512A7" w:rsidSect="00034616">
      <w:pgSz w:w="11909" w:h="16834"/>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33137971">
    <w:abstractNumId w:val="8"/>
  </w:num>
  <w:num w:numId="2" w16cid:durableId="305673146">
    <w:abstractNumId w:val="6"/>
  </w:num>
  <w:num w:numId="3" w16cid:durableId="932007614">
    <w:abstractNumId w:val="5"/>
  </w:num>
  <w:num w:numId="4" w16cid:durableId="129638619">
    <w:abstractNumId w:val="4"/>
  </w:num>
  <w:num w:numId="5" w16cid:durableId="836504054">
    <w:abstractNumId w:val="7"/>
  </w:num>
  <w:num w:numId="6" w16cid:durableId="1701272381">
    <w:abstractNumId w:val="3"/>
  </w:num>
  <w:num w:numId="7" w16cid:durableId="1543202134">
    <w:abstractNumId w:val="2"/>
  </w:num>
  <w:num w:numId="8" w16cid:durableId="1472794855">
    <w:abstractNumId w:val="1"/>
  </w:num>
  <w:num w:numId="9" w16cid:durableId="897398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7387"/>
    <w:rsid w:val="0006063C"/>
    <w:rsid w:val="000A3302"/>
    <w:rsid w:val="000C4A59"/>
    <w:rsid w:val="000D2687"/>
    <w:rsid w:val="00105449"/>
    <w:rsid w:val="00111F78"/>
    <w:rsid w:val="0015074B"/>
    <w:rsid w:val="0017284B"/>
    <w:rsid w:val="00177A8F"/>
    <w:rsid w:val="0029639D"/>
    <w:rsid w:val="00326F90"/>
    <w:rsid w:val="003D623F"/>
    <w:rsid w:val="004D1394"/>
    <w:rsid w:val="004D5FC0"/>
    <w:rsid w:val="00510B10"/>
    <w:rsid w:val="00517EF1"/>
    <w:rsid w:val="005456E4"/>
    <w:rsid w:val="005B5104"/>
    <w:rsid w:val="006108E0"/>
    <w:rsid w:val="00621147"/>
    <w:rsid w:val="006236E5"/>
    <w:rsid w:val="00687427"/>
    <w:rsid w:val="006D7456"/>
    <w:rsid w:val="00724386"/>
    <w:rsid w:val="00732057"/>
    <w:rsid w:val="00734134"/>
    <w:rsid w:val="007343BB"/>
    <w:rsid w:val="0073735B"/>
    <w:rsid w:val="00760302"/>
    <w:rsid w:val="007D2F57"/>
    <w:rsid w:val="007E5BD3"/>
    <w:rsid w:val="00830A69"/>
    <w:rsid w:val="0083639B"/>
    <w:rsid w:val="00837786"/>
    <w:rsid w:val="00852DA1"/>
    <w:rsid w:val="00885979"/>
    <w:rsid w:val="00886DDA"/>
    <w:rsid w:val="00A12690"/>
    <w:rsid w:val="00A15DAF"/>
    <w:rsid w:val="00A670B8"/>
    <w:rsid w:val="00AA1D8D"/>
    <w:rsid w:val="00AF1D19"/>
    <w:rsid w:val="00B47730"/>
    <w:rsid w:val="00B71D62"/>
    <w:rsid w:val="00B771F3"/>
    <w:rsid w:val="00BC1ED6"/>
    <w:rsid w:val="00C26528"/>
    <w:rsid w:val="00CA40DE"/>
    <w:rsid w:val="00CB0664"/>
    <w:rsid w:val="00CC428B"/>
    <w:rsid w:val="00D473F0"/>
    <w:rsid w:val="00D67E2C"/>
    <w:rsid w:val="00E07122"/>
    <w:rsid w:val="00E512A7"/>
    <w:rsid w:val="00F067D1"/>
    <w:rsid w:val="00F16BF7"/>
    <w:rsid w:val="00F91EA5"/>
    <w:rsid w:val="00FC693F"/>
    <w:rsid w:val="00FE2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3A7527"/>
  <w14:defaultImageDpi w14:val="300"/>
  <w15:docId w15:val="{D8B2B54A-3A56-0E46-A94A-942A6131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333333"/>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1265</Words>
  <Characters>7212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Kevin Mitchell</cp:lastModifiedBy>
  <cp:revision>2</cp:revision>
  <dcterms:created xsi:type="dcterms:W3CDTF">2026-05-27T13:21:00Z</dcterms:created>
  <dcterms:modified xsi:type="dcterms:W3CDTF">2026-05-27T13:21:00Z</dcterms:modified>
  <cp:category/>
</cp:coreProperties>
</file>